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Methods</w:t>
      </w:r>
      <w:r>
        <w:t xml:space="preserve"> </w:t>
      </w:r>
      <w:r>
        <w:t xml:space="preserve">Check</w:t>
      </w:r>
    </w:p>
    <w:p>
      <w:pPr>
        <w:pStyle w:val="Subtitle"/>
      </w:pPr>
      <w:r>
        <w:t xml:space="preserve">Review</w:t>
      </w:r>
      <w:r>
        <w:t xml:space="preserve"> </w:t>
      </w:r>
      <w:r>
        <w:t xml:space="preserve">of</w:t>
      </w:r>
      <w:r>
        <w:t xml:space="preserve"> </w:t>
      </w:r>
      <w:r>
        <w:t xml:space="preserve">Emissions</w:t>
      </w:r>
      <w:r>
        <w:t xml:space="preserve"> </w:t>
      </w:r>
      <w:r>
        <w:t xml:space="preserve">Estimates</w:t>
      </w:r>
      <w:r>
        <w:t xml:space="preserve"> </w:t>
      </w:r>
      <w:r>
        <w:t xml:space="preserve">&amp;</w:t>
      </w:r>
      <w:r>
        <w:t xml:space="preserve"> </w:t>
      </w:r>
      <w:r>
        <w:t xml:space="preserve">Activity</w:t>
      </w:r>
      <w:r>
        <w:t xml:space="preserve"> </w:t>
      </w:r>
      <w:r>
        <w:t xml:space="preserve">Data</w:t>
      </w:r>
      <w:r>
        <w:t xml:space="preserve"> </w:t>
      </w:r>
      <w:r>
        <w:t xml:space="preserve">applied</w:t>
      </w:r>
      <w:r>
        <w:t xml:space="preserve"> </w:t>
      </w:r>
      <w:r>
        <w:t xml:space="preserve">in</w:t>
      </w:r>
      <w:r>
        <w:t xml:space="preserve"> </w:t>
      </w:r>
      <w:r>
        <w:t xml:space="preserve">the</w:t>
      </w:r>
      <w:r>
        <w:t xml:space="preserve"> </w:t>
      </w:r>
      <w:r>
        <w:t xml:space="preserve">RSPB</w:t>
      </w:r>
      <w:r>
        <w:t xml:space="preserve"> </w:t>
      </w:r>
      <w:r>
        <w:t xml:space="preserve">Gola</w:t>
      </w:r>
      <w:r>
        <w:t xml:space="preserve"> </w:t>
      </w:r>
      <w:r>
        <w:t xml:space="preserve">Feasibility</w:t>
      </w:r>
      <w:r>
        <w:t xml:space="preserve"> </w:t>
      </w:r>
      <w:r>
        <w:t xml:space="preserve">Assessment</w:t>
      </w:r>
    </w:p>
    <w:p>
      <w:pPr>
        <w:pStyle w:val="Date"/>
      </w:pPr>
      <w:r>
        <w:t xml:space="preserve">2024-12-23</w:t>
      </w:r>
    </w:p>
    <w:bookmarkStart w:id="20" w:name="summary"/>
    <w:p>
      <w:pPr>
        <w:pStyle w:val="Heading2"/>
      </w:pPr>
      <w:r>
        <w:t xml:space="preserve">Summary</w:t>
      </w:r>
    </w:p>
    <w:p>
      <w:r>
        <w:pict>
          <v:rect style="width:0;height:1.5pt" o:hralign="center" o:hrstd="t" o:hr="t"/>
        </w:pict>
      </w:r>
    </w:p>
    <w:bookmarkEnd w:id="20"/>
    <w:bookmarkStart w:id="25" w:name="project-files-reviewed"/>
    <w:p>
      <w:pPr>
        <w:pStyle w:val="Heading2"/>
      </w:pPr>
      <w:r>
        <w:t xml:space="preserve">Project files reviewed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Filename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Filepath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community forestry zone REDD objectives.docx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Files/Gola VER estimate/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ER_Workbook_Gola_Liberia.xlsx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Files/Gola VER estimate/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ERR_assumptions_meeting_notes_final.docx</w:t>
            </w:r>
            <w:r>
              <w:rPr>
                <w:rStyle w:val="FootnoteReference"/>
              </w:rPr>
              <w:footnoteReference w:id="21"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Files/Gola VER estimate/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Proxy Baseline Allocation Report.docx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Files/Gola VER estimate/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VER Notes.docx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Files/Gola VER estimate/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10b Gola REDD Baseline Workplan VCS.pdf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Files/Data from RSPB/OneDrive_1_02-05-2024.zip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ProjectArea.shp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~/20087 - RSPB Gola Feasibility/Working Files/Winrock_GIS Analysis Gola/</w:t>
            </w:r>
          </w:p>
        </w:tc>
      </w:tr>
    </w:tbl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i/>
          <w:iCs/>
        </w:rPr>
        <w:t xml:space="preserve">Import aoi</w:t>
      </w:r>
    </w:p>
    <w:p>
      <w:pPr>
        <w:pStyle w:val="SourceCode"/>
      </w:pPr>
      <w:r>
        <w:rPr>
          <w:rStyle w:val="NormalTok"/>
        </w:rPr>
        <w:t xml:space="preserve">aoi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read_sf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"~/OneDrive - Winrock International Institute for Agricultural Development/20087 - RSPB Gola Feasibility/Working Files/Winrock_GIS Analysis Gola/ProjectArea.shp"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rPr>
          <w:rStyle w:val="NormalTok"/>
        </w:rPr>
        <w:t xml:space="preserve">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st_transform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3857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supports mosaicking across multiple UTMs</w:t>
      </w:r>
      <w:r>
        <w:br/>
      </w:r>
      <w:r>
        <w:rPr>
          <w:rStyle w:val="NormalTok"/>
        </w:rPr>
        <w:t xml:space="preserve">aoi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aoi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st_cast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"POLYGON"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st_cast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"MULTIPOLYGON"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bbox_expand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ext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(aoi))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bbox_frame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ext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(aoi))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bbox      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st_as_sf</w:t>
      </w:r>
      <w:r>
        <w:rPr>
          <w:rStyle w:val="NormalTok"/>
        </w:rPr>
        <w:t xml:space="preserve">(bbox_frame) </w:t>
      </w:r>
      <w:r>
        <w:br/>
      </w:r>
      <w:r>
        <w:rPr>
          <w:rStyle w:val="NormalTok"/>
        </w:rPr>
        <w:t xml:space="preserve">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crs</w:t>
      </w:r>
      <w:r>
        <w:rPr>
          <w:rStyle w:val="NormalTok"/>
        </w:rPr>
        <w:t xml:space="preserve">(bbox_expand)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"epsg:3857"</w:t>
      </w:r>
      <w:r>
        <w:br/>
      </w:r>
      <w:r>
        <w:rPr>
          <w:rStyle w:val="NormalTok"/>
        </w:rPr>
        <w:t xml:space="preserve">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crs</w:t>
      </w:r>
      <w:r>
        <w:rPr>
          <w:rStyle w:val="NormalTok"/>
        </w:rPr>
        <w:t xml:space="preserve">(bbox_frame)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"epsg:3857"</w:t>
      </w:r>
      <w:r>
        <w:br/>
      </w:r>
      <w:r>
        <w:rPr>
          <w:rStyle w:val="NormalTok"/>
        </w:rPr>
        <w:t xml:space="preserve">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st_crs</w:t>
      </w:r>
      <w:r>
        <w:rPr>
          <w:rStyle w:val="NormalTok"/>
        </w:rPr>
        <w:t xml:space="preserve">(bbox)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3857</w:t>
      </w:r>
    </w:p>
    <w:p>
      <w:pPr>
        <w:pStyle w:val="CaptionedFigure"/>
      </w:pPr>
      <w:r>
        <w:drawing>
          <wp:inline>
            <wp:extent cx="5334000" cy="4074891"/>
            <wp:effectExtent b="0" l="0" r="0" t="0"/>
            <wp:docPr descr="Figure 1: Site map showing proposed extent as defined by ProjectArea.shp" title="" id="23" name="Picture"/>
            <a:graphic>
              <a:graphicData uri="http://schemas.openxmlformats.org/drawingml/2006/picture">
                <pic:pic>
                  <pic:nvPicPr>
                    <pic:cNvPr descr="data/basemaps/Esri.NatGeoWroldMap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4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Site map showing proposed extent as defined by</w:t>
      </w:r>
      <w:r>
        <w:t xml:space="preserve"> </w:t>
      </w:r>
      <w:r>
        <w:rPr>
          <w:rStyle w:val="VerbatimChar"/>
        </w:rPr>
        <w:t xml:space="preserve">ProjectArea.shp</w:t>
      </w:r>
    </w:p>
    <w:p>
      <w:r>
        <w:pict>
          <v:rect style="width:0;height:1.5pt" o:hralign="center" o:hrstd="t" o:hr="t"/>
        </w:pict>
      </w:r>
    </w:p>
    <w:bookmarkEnd w:id="25"/>
    <w:bookmarkStart w:id="26" w:name="area-check"/>
    <w:p>
      <w:pPr>
        <w:pStyle w:val="Heading2"/>
      </w:pPr>
      <w:r>
        <w:t xml:space="preserve">Area check</w:t>
      </w:r>
    </w:p>
    <w:p>
      <w:pPr>
        <w:pStyle w:val="FirstParagraph"/>
      </w:pPr>
      <w:r>
        <w:t xml:space="preserve">In Liberia, the official definition of forest land is provided by the Forestry Development</w:t>
      </w:r>
      <w:r>
        <w:t xml:space="preserve"> </w:t>
      </w:r>
      <w:r>
        <w:t xml:space="preserve">Authority</w:t>
      </w:r>
      <w:r>
        <w:t xml:space="preserve"> </w:t>
      </w:r>
      <w:r>
        <w:t xml:space="preserve">(Liberia 2019)</w:t>
      </w:r>
      <w:r>
        <w:t xml:space="preserve">, including areas of land that</w:t>
      </w:r>
      <w:r>
        <w:t xml:space="preserve"> </w:t>
      </w:r>
      <w:r>
        <w:t xml:space="preserve">meet the following criteria:</w:t>
      </w:r>
    </w:p>
    <w:p>
      <w:pPr>
        <w:pStyle w:val="Compact"/>
        <w:numPr>
          <w:ilvl w:val="0"/>
          <w:numId w:val="1001"/>
        </w:numPr>
      </w:pPr>
      <w:r>
        <w:t xml:space="preserve">Canopy cover of minimum 30%;</w:t>
      </w:r>
    </w:p>
    <w:p>
      <w:pPr>
        <w:pStyle w:val="Compact"/>
        <w:numPr>
          <w:ilvl w:val="0"/>
          <w:numId w:val="1001"/>
        </w:numPr>
      </w:pPr>
      <w:r>
        <w:t xml:space="preserve">Canopy height of minimum 5m or the capacity to reach it;</w:t>
      </w:r>
    </w:p>
    <w:p>
      <w:pPr>
        <w:pStyle w:val="Compact"/>
        <w:numPr>
          <w:ilvl w:val="0"/>
          <w:numId w:val="1001"/>
        </w:numPr>
      </w:pPr>
      <w:r>
        <w:t xml:space="preserve">Covering a minimum of 1 hectare of land.</w:t>
      </w:r>
    </w:p>
    <w:p>
      <w:pPr>
        <w:pStyle w:val="SourceCode"/>
      </w:pPr>
      <w:r>
        <w:rPr>
          <w:rStyle w:val="NormalTok"/>
        </w:rPr>
        <w:t xml:space="preserve">aoi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area_m2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st_area</w:t>
      </w:r>
      <w:r>
        <w:rPr>
          <w:rStyle w:val="NormalTok"/>
        </w:rPr>
        <w:t xml:space="preserve">(aoi)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0.0001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aoi_select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aoi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(NAME, DESIG, area_m2)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NAME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"Gola Forest National Park"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|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NAME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"Tonglay"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|</w:t>
      </w:r>
      <w:r>
        <w:br/>
      </w:r>
      <w:r>
        <w:rPr>
          <w:rStyle w:val="NormalTok"/>
        </w:rPr>
        <w:t xml:space="preserve">      NAME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"Normon"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st_drop_geometry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janitor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adorn_totals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kable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font_size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kable_styling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"striped"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full_width =</w:t>
      </w:r>
      <w:r>
        <w:rPr>
          <w:rStyle w:val="NormalTok"/>
        </w:rPr>
        <w:t xml:space="preserve"> F)</w:t>
      </w:r>
      <w:r>
        <w:br/>
      </w:r>
      <w:r>
        <w:rPr>
          <w:rStyle w:val="NormalTok"/>
        </w:rPr>
        <w:t xml:space="preserve">aoi_select</w:t>
      </w:r>
    </w:p>
    <w:p>
      <w:pPr>
        <w:pStyle w:val="FirstParagraph"/>
      </w:pPr>
      <w:r>
        <w:t xml:space="preserve">NAME</w:t>
      </w:r>
    </w:p>
    <w:p>
      <w:pPr>
        <w:pStyle w:val="BodyText"/>
      </w:pPr>
      <w:r>
        <w:t xml:space="preserve">DESIG</w:t>
      </w:r>
    </w:p>
    <w:p>
      <w:pPr>
        <w:pStyle w:val="BodyText"/>
      </w:pPr>
      <w:r>
        <w:t xml:space="preserve">area_m2</w:t>
      </w:r>
    </w:p>
    <w:p>
      <w:pPr>
        <w:pStyle w:val="BodyText"/>
      </w:pPr>
      <w:r>
        <w:t xml:space="preserve">Gola Forest National Park</w:t>
      </w:r>
    </w:p>
    <w:p>
      <w:pPr>
        <w:pStyle w:val="BodyText"/>
      </w:pPr>
      <w:r>
        <w:t xml:space="preserve">National Park</w:t>
      </w:r>
    </w:p>
    <w:p>
      <w:pPr>
        <w:pStyle w:val="BodyText"/>
      </w:pPr>
      <w:r>
        <w:t xml:space="preserve">90922</w:t>
      </w:r>
    </w:p>
    <w:p>
      <w:pPr>
        <w:pStyle w:val="BodyText"/>
      </w:pPr>
      <w:r>
        <w:t xml:space="preserve">Tonglay</w:t>
      </w:r>
    </w:p>
    <w:p>
      <w:pPr>
        <w:pStyle w:val="BodyText"/>
      </w:pPr>
      <w:r>
        <w:t xml:space="preserve">Community Forest</w:t>
      </w:r>
    </w:p>
    <w:p>
      <w:pPr>
        <w:pStyle w:val="BodyText"/>
      </w:pPr>
      <w:r>
        <w:t xml:space="preserve">30247</w:t>
      </w:r>
    </w:p>
    <w:p>
      <w:pPr>
        <w:pStyle w:val="BodyText"/>
      </w:pPr>
      <w:r>
        <w:t xml:space="preserve">Normon</w:t>
      </w:r>
    </w:p>
    <w:p>
      <w:pPr>
        <w:pStyle w:val="BodyText"/>
      </w:pPr>
      <w:r>
        <w:t xml:space="preserve">Community Forest</w:t>
      </w:r>
    </w:p>
    <w:p>
      <w:pPr>
        <w:pStyle w:val="BodyText"/>
      </w:pPr>
      <w:r>
        <w:t xml:space="preserve">7170</w:t>
      </w:r>
    </w:p>
    <w:p>
      <w:pPr>
        <w:pStyle w:val="BodyText"/>
      </w:pPr>
      <w:r>
        <w:t xml:space="preserve">Total</w:t>
      </w:r>
    </w:p>
    <w:p>
      <w:pPr>
        <w:pStyle w:val="Compact"/>
        <w:numPr>
          <w:ilvl w:val="0"/>
          <w:numId w:val="1002"/>
        </w:numPr>
      </w:pPr>
      <w:r>
        <w:t xml:space="preserve">128339</w:t>
      </w:r>
    </w:p>
    <w:p>
      <w:pPr>
        <w:pStyle w:val="SourceCode"/>
      </w:pPr>
      <w:r>
        <w:rPr>
          <w:rStyle w:val="CommentTok"/>
        </w:rPr>
        <w:t xml:space="preserve"># check for artefacts or "forest slivers"</w:t>
      </w:r>
      <w:r>
        <w:br/>
      </w:r>
      <w:r>
        <w:rPr>
          <w:rStyle w:val="NormalTok"/>
        </w:rPr>
        <w:t xml:space="preserve">slivers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aoi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as.numeric</w:t>
      </w:r>
      <w:r>
        <w:rPr>
          <w:rStyle w:val="NormalTok"/>
        </w:rPr>
        <w:t xml:space="preserve">(area_m2)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slivers </w:t>
      </w:r>
      <w:r>
        <w:rPr>
          <w:rStyle w:val="CommentTok"/>
        </w:rPr>
        <w:t xml:space="preserve"># no slivers found</w:t>
      </w:r>
    </w:p>
    <w:p>
      <w:pPr>
        <w:pStyle w:val="SourceCode"/>
      </w:pPr>
      <w:r>
        <w:rPr>
          <w:rStyle w:val="VerbatimChar"/>
        </w:rPr>
        <w:t xml:space="preserve">Simple feature collection with 0 features and 30 fields</w:t>
      </w:r>
      <w:r>
        <w:br/>
      </w:r>
      <w:r>
        <w:rPr>
          <w:rStyle w:val="VerbatimChar"/>
        </w:rPr>
        <w:t xml:space="preserve">Bounding box:  xmin: NA ymin: NA xmax: NA ymax: NA</w:t>
      </w:r>
      <w:r>
        <w:br/>
      </w:r>
      <w:r>
        <w:rPr>
          <w:rStyle w:val="VerbatimChar"/>
        </w:rPr>
        <w:t xml:space="preserve">Projected CRS: WGS 84 / Pseudo-Mercator</w:t>
      </w:r>
      <w:r>
        <w:br/>
      </w:r>
      <w:r>
        <w:rPr>
          <w:rStyle w:val="VerbatimChar"/>
        </w:rPr>
        <w:t xml:space="preserve"># A tibble: 0 × 31</w:t>
      </w:r>
      <w:r>
        <w:br/>
      </w:r>
      <w:r>
        <w:rPr>
          <w:rStyle w:val="VerbatimChar"/>
        </w:rPr>
        <w:t xml:space="preserve"># ℹ 31 variables: WDPAID &lt;dbl&gt;, WDPA_PID &lt;chr&gt;, NAME &lt;chr&gt;, ORIG_NAME &lt;chr&gt;,</w:t>
      </w:r>
      <w:r>
        <w:br/>
      </w:r>
      <w:r>
        <w:rPr>
          <w:rStyle w:val="VerbatimChar"/>
        </w:rPr>
        <w:t xml:space="preserve">#   DESIG &lt;chr&gt;, DESIG_TYPE &lt;chr&gt;, IUCN_CAT &lt;chr&gt;, INT_CRIT &lt;chr&gt;,</w:t>
      </w:r>
      <w:r>
        <w:br/>
      </w:r>
      <w:r>
        <w:rPr>
          <w:rStyle w:val="VerbatimChar"/>
        </w:rPr>
        <w:t xml:space="preserve">#   MARINE &lt;chr&gt;, REP_M_AREA &lt;dbl&gt;, GIS_M_AREA &lt;dbl&gt;, REP_AREA &lt;dbl&gt;,</w:t>
      </w:r>
      <w:r>
        <w:br/>
      </w:r>
      <w:r>
        <w:rPr>
          <w:rStyle w:val="VerbatimChar"/>
        </w:rPr>
        <w:t xml:space="preserve">#   GIS_AREA &lt;dbl&gt;, STATUS &lt;chr&gt;, STATUS_YR &lt;dbl&gt;, GOV_TYPE &lt;chr&gt;,</w:t>
      </w:r>
      <w:r>
        <w:br/>
      </w:r>
      <w:r>
        <w:rPr>
          <w:rStyle w:val="VerbatimChar"/>
        </w:rPr>
        <w:t xml:space="preserve">#   MANG_AUTH &lt;chr&gt;, MANG_PLAN &lt;chr&gt;, VERIF &lt;chr&gt;, METADATAID &lt;dbl&gt;,</w:t>
      </w:r>
      <w:r>
        <w:br/>
      </w:r>
      <w:r>
        <w:rPr>
          <w:rStyle w:val="VerbatimChar"/>
        </w:rPr>
        <w:t xml:space="preserve">#   SUB_LOC &lt;chr&gt;, PARENT_ISO &lt;chr&gt;, ISO3 &lt;chr&gt;, Comments &lt;chr&gt;,</w:t>
      </w:r>
      <w:r>
        <w:br/>
      </w:r>
      <w:r>
        <w:rPr>
          <w:rStyle w:val="VerbatimChar"/>
        </w:rPr>
        <w:t xml:space="preserve">#   Landscape &lt;chr&gt;, Shape_Leng &lt;dbl&gt;, Shape_Area &lt;dbl&gt;, Areaha &lt;dbl&gt;, …</w:t>
      </w:r>
    </w:p>
    <w:p>
      <w:pPr>
        <w:pStyle w:val="FirstParagraph"/>
      </w:pPr>
      <w:r>
        <w:t xml:space="preserve">Results confirm the dataset is free from forest patches that are smaller than the approved</w:t>
      </w:r>
      <w:r>
        <w:t xml:space="preserve"> </w:t>
      </w:r>
      <w:r>
        <w:t xml:space="preserve">area definition.</w:t>
      </w:r>
    </w:p>
    <w:bookmarkEnd w:id="26"/>
    <w:bookmarkStart w:id="38" w:name="lulc-check"/>
    <w:p>
      <w:pPr>
        <w:pStyle w:val="Heading2"/>
      </w:pPr>
      <w:r>
        <w:t xml:space="preserve">LULC check</w:t>
      </w:r>
    </w:p>
    <w:p>
      <w:pPr>
        <w:pStyle w:val="FirstParagraph"/>
      </w:pPr>
      <w:r>
        <w:rPr>
          <w:i/>
          <w:iCs/>
        </w:rPr>
        <w:t xml:space="preserve">Data processing</w:t>
      </w:r>
    </w:p>
    <w:p>
      <w:pPr>
        <w:pStyle w:val="Compact"/>
        <w:numPr>
          <w:ilvl w:val="0"/>
          <w:numId w:val="1003"/>
        </w:numPr>
      </w:pPr>
      <w:r>
        <w:t xml:space="preserve">raster normalization applied cloudless pixel ranking &amp; median back-fill;</w:t>
      </w:r>
    </w:p>
    <w:p>
      <w:pPr>
        <w:pStyle w:val="Compact"/>
        <w:numPr>
          <w:ilvl w:val="0"/>
          <w:numId w:val="1003"/>
        </w:numPr>
      </w:pPr>
      <w:r>
        <w:t xml:space="preserve">baseline beyond temporal extent of sentinel (</w:t>
      </w:r>
      <w:r>
        <w:rPr>
          <w:b/>
          <w:bCs/>
        </w:rPr>
        <w:t xml:space="preserve">landsat used instead?</w:t>
      </w:r>
      <w:r>
        <w:t xml:space="preserve">);</w:t>
      </w:r>
    </w:p>
    <w:p>
      <w:pPr>
        <w:pStyle w:val="Compact"/>
        <w:numPr>
          <w:ilvl w:val="0"/>
          <w:numId w:val="1003"/>
        </w:numPr>
      </w:pPr>
      <w:r>
        <w:t xml:space="preserve">training sample extracted from GLanCE dataset</w:t>
      </w:r>
      <w:r>
        <w:rPr>
          <w:rStyle w:val="FootnoteReference"/>
        </w:rPr>
        <w:footnoteReference w:id="27"/>
      </w:r>
      <w:r>
        <w:t xml:space="preserve">, which was processed using</w:t>
      </w:r>
      <w:r>
        <w:t xml:space="preserve"> </w:t>
      </w:r>
      <w:r>
        <w:rPr>
          <w:b/>
          <w:bCs/>
        </w:rPr>
        <w:t xml:space="preserve">class</w:t>
      </w:r>
      <w:r>
        <w:rPr>
          <w:b/>
          <w:bCs/>
        </w:rPr>
        <w:t xml:space="preserve"> </w:t>
      </w:r>
      <w:r>
        <w:rPr>
          <w:b/>
          <w:bCs/>
        </w:rPr>
        <w:t xml:space="preserve">migration</w:t>
      </w:r>
      <w:r>
        <w:t xml:space="preserve"> </w:t>
      </w:r>
      <w:r>
        <w:t xml:space="preserve">algorithm;</w:t>
      </w:r>
    </w:p>
    <w:p>
      <w:pPr>
        <w:pStyle w:val="Compact"/>
        <w:numPr>
          <w:ilvl w:val="1"/>
          <w:numId w:val="1004"/>
        </w:numPr>
      </w:pPr>
      <w:r>
        <w:t xml:space="preserve">Although Verra lacking requirements for class migration (i.e. VT0007, VMD0055,</w:t>
      </w:r>
      <w:r>
        <w:t xml:space="preserve"> </w:t>
      </w:r>
      <w:r>
        <w:t xml:space="preserve">VM0048), we may advise client on best practices and showcase improved accuracy in</w:t>
      </w:r>
      <w:r>
        <w:t xml:space="preserve"> </w:t>
      </w:r>
      <w:r>
        <w:t xml:space="preserve">following comparisons</w:t>
      </w:r>
      <w:r>
        <w:t xml:space="preserve"> </w:t>
      </w:r>
      <w:r>
        <w:t xml:space="preserve">(Verra 2023, 2024, 2021)</w:t>
      </w:r>
      <w:r>
        <w:t xml:space="preserve">.</w:t>
      </w:r>
    </w:p>
    <w:p>
      <w:pPr>
        <w:pStyle w:val="Compact"/>
        <w:numPr>
          <w:ilvl w:val="1"/>
          <w:numId w:val="1004"/>
        </w:numPr>
      </w:pPr>
      <w:r>
        <w:t xml:space="preserve">Level-1 classes in the GLanCE dataset were recoded to match feature labels</w:t>
      </w:r>
      <w:r>
        <w:t xml:space="preserve"> </w:t>
      </w:r>
      <w:r>
        <w:t xml:space="preserve">reported in the</w:t>
      </w:r>
      <w:r>
        <w:t xml:space="preserve"> </w:t>
      </w:r>
      <w:r>
        <w:t xml:space="preserve">“</w:t>
      </w:r>
      <w:r>
        <w:t xml:space="preserve">Lookups</w:t>
      </w:r>
      <w:r>
        <w:t xml:space="preserve">”</w:t>
      </w:r>
      <w:r>
        <w:t xml:space="preserve"> </w:t>
      </w:r>
      <w:r>
        <w:t xml:space="preserve">sheet of</w:t>
      </w:r>
      <w:r>
        <w:t xml:space="preserve"> </w:t>
      </w:r>
      <w:r>
        <w:t xml:space="preserve">“</w:t>
      </w:r>
      <w:r>
        <w:t xml:space="preserve">ER_Workbook_Gola_Liberia.xlsx</w:t>
      </w:r>
      <w:r>
        <w:t xml:space="preserve">”</w:t>
      </w:r>
      <w:r>
        <w:t xml:space="preserve">. For review,</w:t>
      </w:r>
      <w:r>
        <w:t xml:space="preserve"> </w:t>
      </w:r>
      <w:r>
        <w:t xml:space="preserve">the following table compares GLanCE’s data dictionary and Liberia’s methodological</w:t>
      </w:r>
      <w:r>
        <w:t xml:space="preserve"> </w:t>
      </w:r>
      <w:r>
        <w:t xml:space="preserve">report to present feature classes in their original format and converted format (</w:t>
      </w:r>
      <w:r>
        <w:t xml:space="preserve"> </w:t>
      </w:r>
      <w:r>
        <w:t xml:space="preserve">“</w:t>
      </w:r>
      <w:r>
        <w:t xml:space="preserve">&gt;&gt;</w:t>
      </w:r>
      <w:r>
        <w:t xml:space="preserve">”</w:t>
      </w:r>
      <w:r>
        <w:t xml:space="preserve"> </w:t>
      </w:r>
      <w:r>
        <w:t xml:space="preserve">)</w:t>
      </w:r>
      <w:r>
        <w:t xml:space="preserve"> </w:t>
      </w:r>
      <w:r>
        <w:t xml:space="preserve">(Woodcock et al., n.d.; Liberia 2019)</w:t>
      </w:r>
      <w:r>
        <w:t xml:space="preserve">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093"/>
        <w:gridCol w:w="2093"/>
        <w:gridCol w:w="1638"/>
        <w:gridCol w:w="20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RSPB classes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GLanCE classes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Developed (3)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covered with structures, built-up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Bareground (0)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Barren (4) &gt;&gt; Bareground (0)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of soils, sand, or rocks where &lt;10% is vegetated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Regrowth (1)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Herbaceous (7) &gt;&gt; Regrowth (1)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of &lt;30% tree, &gt;10% vegetation, but &lt;10% shurb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Farmbush (2)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Shrublands (6) &gt;&gt; Farmbush (2)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of &lt;30% tree, &gt;10% vegetation, &amp; &gt;10% shrub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Forest (3)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Tree Cover (5) &gt;&gt; Forest (3)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of tree cover &gt; 30%.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Water (4)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Water (1) &gt;&gt; Water (4)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covered with water year-round (lakes &amp; streams)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Swamp (5)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Developed (3) &gt;&gt; Developed (99)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covered with structures, built-up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Cocoa (6)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Ice/Snow (2) &gt;&gt; Ice/Snow (88)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Areas of snow cover &gt; 50% year-round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Oil Palm (7)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Training samples are fitted to a Random Forest model, a Bayesian smoothing, and evaluated</w:t>
      </w:r>
      <w:r>
        <w:t xml:space="preserve"> </w:t>
      </w:r>
      <w:r>
        <w:t xml:space="preserve">using confusion matrix and probabilistic uncertainty of classification. Subseuqently, new</w:t>
      </w:r>
      <w:r>
        <w:t xml:space="preserve"> </w:t>
      </w:r>
      <w:r>
        <w:t xml:space="preserve">samples were derived in areas of high uncertainty before classifiers were re-evaluated</w:t>
      </w:r>
      <w:r>
        <w:t xml:space="preserve"> </w:t>
      </w:r>
      <w:r>
        <w:t xml:space="preserve">with a second confusion matrix.</w:t>
      </w:r>
    </w:p>
    <w:p>
      <w:pPr>
        <w:pStyle w:val="SourceCode"/>
      </w:pPr>
      <w:r>
        <w:rPr>
          <w:rStyle w:val="CommentTok"/>
        </w:rPr>
        <w:t xml:space="preserve"># download &amp; filter training dataset</w:t>
      </w:r>
      <w:r>
        <w:br/>
      </w:r>
      <w:r>
        <w:rPr>
          <w:rStyle w:val="NormalTok"/>
        </w:rPr>
        <w:t xml:space="preserve">samples     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read.csv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"./data/glance_dataset.csv"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train_data  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sits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sits_sample</w:t>
      </w:r>
      <w:r>
        <w:rPr>
          <w:rStyle w:val="NormalTok"/>
        </w:rPr>
        <w:t xml:space="preserve">(samples, </w:t>
      </w:r>
      <w:r>
        <w:rPr>
          <w:rStyle w:val="AttributeTok"/>
        </w:rPr>
        <w:t xml:space="preserve">frac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test_data   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sits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sits_sample</w:t>
      </w:r>
      <w:r>
        <w:rPr>
          <w:rStyle w:val="NormalTok"/>
        </w:rPr>
        <w:t xml:space="preserve">(samples, </w:t>
      </w:r>
      <w:r>
        <w:rPr>
          <w:rStyle w:val="AttributeTok"/>
        </w:rPr>
        <w:t xml:space="preserve">frac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assemble cube from stac</w:t>
      </w:r>
      <w:r>
        <w:br/>
      </w:r>
      <w:r>
        <w:rPr>
          <w:rStyle w:val="NormalTok"/>
        </w:rPr>
        <w:t xml:space="preserve">cube_2023_aws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sits_cube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source   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"AWS"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collection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"SENTINEL-2-L2A"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roi         =</w:t>
      </w:r>
      <w:r>
        <w:rPr>
          <w:rStyle w:val="NormalTok"/>
        </w:rPr>
        <w:t xml:space="preserve"> aoi,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bands      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"B04"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"B08"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"CLOUD"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start_date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"2023-01-01"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end_date 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"2023-03-01"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normalize cube</w:t>
      </w:r>
      <w:r>
        <w:br/>
      </w:r>
      <w:r>
        <w:rPr>
          <w:rStyle w:val="NormalTok"/>
        </w:rPr>
        <w:t xml:space="preserve">cube_2023_reg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sits_regularize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cube        =</w:t>
      </w:r>
      <w:r>
        <w:rPr>
          <w:rStyle w:val="NormalTok"/>
        </w:rPr>
        <w:t xml:space="preserve"> cube_2023_aws,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res        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period   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"P60D"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multicores 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output_dir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"./data/cube_2023"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Derive NDVI</w:t>
      </w:r>
      <w:r>
        <w:br/>
      </w:r>
      <w:r>
        <w:rPr>
          <w:rStyle w:val="NormalTok"/>
        </w:rPr>
        <w:t xml:space="preserve">cube_202407_spectral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sits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sits_apply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cube_202407_reg,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NDVI =</w:t>
      </w:r>
      <w:r>
        <w:rPr>
          <w:rStyle w:val="NormalTok"/>
        </w:rPr>
        <w:t xml:space="preserve"> (B8A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B04)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(B8A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B04),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output_dir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'./cubes/2024_reg'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memsize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multicores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progress =</w:t>
      </w:r>
      <w:r>
        <w:rPr>
          <w:rStyle w:val="NormalTok"/>
        </w:rPr>
        <w:t xml:space="preserve"> T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ndvi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"./cubes/2024_reg"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'NDVI'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full.names =</w:t>
      </w:r>
      <w:r>
        <w:rPr>
          <w:rStyle w:val="NormalTok"/>
        </w:rPr>
        <w:t xml:space="preserve"> T, </w:t>
      </w:r>
      <w:r>
        <w:rPr>
          <w:rStyle w:val="AttributeTok"/>
        </w:rPr>
        <w:t xml:space="preserve">all.files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(terra</w:t>
      </w:r>
      <w:r>
        <w:rPr>
          <w:rStyle w:val="SpecialCharTok"/>
        </w:rPr>
        <w:t xml:space="preserve">::</w:t>
      </w:r>
      <w:r>
        <w:rPr>
          <w:rStyle w:val="NormalTok"/>
        </w:rPr>
        <w:t xml:space="preserve">rast)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sprc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|&gt;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mosaic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mask</w:t>
      </w:r>
      <w:r>
        <w:rPr>
          <w:rStyle w:val="NormalTok"/>
        </w:rPr>
        <w:t xml:space="preserve">(ndvi, 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(aoi))</w:t>
      </w:r>
      <w:r>
        <w:br/>
      </w:r>
      <w:r>
        <w:rPr>
          <w:rStyle w:val="NormalTok"/>
        </w:rPr>
        <w:t xml:space="preserve">aoi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sf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st_transform</w:t>
      </w:r>
      <w:r>
        <w:rPr>
          <w:rStyle w:val="NormalTok"/>
        </w:rPr>
        <w:t xml:space="preserve">(aoi, </w:t>
      </w:r>
      <w:r>
        <w:rPr>
          <w:rStyle w:val="FunctionTok"/>
        </w:rPr>
        <w:t xml:space="preserve">crs</w:t>
      </w:r>
      <w:r>
        <w:rPr>
          <w:rStyle w:val="NormalTok"/>
        </w:rPr>
        <w:t xml:space="preserve">(ndvi))</w:t>
      </w:r>
      <w:r>
        <w:br/>
      </w:r>
      <w:r>
        <w:rPr>
          <w:rStyle w:val="NormalTok"/>
        </w:rPr>
        <w:t xml:space="preserve">ndvi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terra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crop</w:t>
      </w:r>
      <w:r>
        <w:rPr>
          <w:rStyle w:val="NormalTok"/>
        </w:rPr>
        <w:t xml:space="preserve">(ndvi, </w:t>
      </w:r>
      <w:r>
        <w:rPr>
          <w:rStyle w:val="FunctionTok"/>
        </w:rPr>
        <w:t xml:space="preserve">vect</w:t>
      </w:r>
      <w:r>
        <w:rPr>
          <w:rStyle w:val="NormalTok"/>
        </w:rPr>
        <w:t xml:space="preserve">(aoi), </w:t>
      </w:r>
      <w:r>
        <w:rPr>
          <w:rStyle w:val="AttributeTok"/>
        </w:rPr>
        <w:t xml:space="preserve">mask=</w:t>
      </w:r>
      <w:r>
        <w:rPr>
          <w:rStyle w:val="NormalTok"/>
        </w:rPr>
        <w:t xml:space="preserve">T)</w:t>
      </w:r>
      <w:r>
        <w:br/>
      </w:r>
      <w:r>
        <w:rPr>
          <w:rStyle w:val="NormalTok"/>
        </w:rPr>
        <w:t xml:space="preserve">ndvi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ndvi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0.0001</w:t>
      </w:r>
      <w:r>
        <w:br/>
      </w:r>
      <w:r>
        <w:br/>
      </w:r>
      <w:r>
        <w:rPr>
          <w:rStyle w:val="FunctionTok"/>
        </w:rPr>
        <w:t xml:space="preserve">writeRaster</w:t>
      </w:r>
      <w:r>
        <w:rPr>
          <w:rStyle w:val="NormalTok"/>
        </w:rPr>
        <w:t xml:space="preserve">(ndvi, </w:t>
      </w:r>
      <w:r>
        <w:rPr>
          <w:rStyle w:val="StringTok"/>
        </w:rPr>
        <w:t xml:space="preserve">"./cubes/2024_mosaic/NDVI_2024_07.tif"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overwrite=</w:t>
      </w:r>
      <w:r>
        <w:rPr>
          <w:rStyle w:val="NormalTok"/>
        </w:rPr>
        <w:t xml:space="preserve">T)</w:t>
      </w:r>
      <w:r>
        <w:br/>
      </w:r>
      <w:r>
        <w:br/>
      </w:r>
      <w:r>
        <w:br/>
      </w:r>
      <w:r>
        <w:rPr>
          <w:rStyle w:val="CommentTok"/>
        </w:rPr>
        <w:t xml:space="preserve"># train classifier</w:t>
      </w:r>
      <w:r>
        <w:br/>
      </w:r>
      <w:r>
        <w:rPr>
          <w:rStyle w:val="NormalTok"/>
        </w:rPr>
        <w:t xml:space="preserve">rfor_model  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sits_train</w:t>
      </w:r>
      <w:r>
        <w:rPr>
          <w:rStyle w:val="NormalTok"/>
        </w:rPr>
        <w:t xml:space="preserve">(train_data, </w:t>
      </w:r>
      <w:r>
        <w:rPr>
          <w:rStyle w:val="FunctionTok"/>
        </w:rPr>
        <w:t xml:space="preserve">sits_rfor</w:t>
      </w:r>
      <w:r>
        <w:rPr>
          <w:rStyle w:val="NormalTok"/>
        </w:rPr>
        <w:t xml:space="preserve">())</w:t>
      </w:r>
      <w:r>
        <w:br/>
      </w:r>
      <w:r>
        <w:br/>
      </w:r>
      <w:r>
        <w:rPr>
          <w:rStyle w:val="CommentTok"/>
        </w:rPr>
        <w:t xml:space="preserve"># classify cube</w:t>
      </w:r>
      <w:r>
        <w:br/>
      </w:r>
      <w:r>
        <w:rPr>
          <w:rStyle w:val="NormalTok"/>
        </w:rPr>
        <w:t xml:space="preserve">cube_2023_prob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sits_classify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data        =</w:t>
      </w:r>
      <w:r>
        <w:rPr>
          <w:rStyle w:val="NormalTok"/>
        </w:rPr>
        <w:t xml:space="preserve"> cube_2023_reg,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ml_model    =</w:t>
      </w:r>
      <w:r>
        <w:rPr>
          <w:rStyle w:val="NormalTok"/>
        </w:rPr>
        <w:t xml:space="preserve"> rfor_model, 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output_dir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"./data/cube_2023"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CommentTok"/>
        </w:rPr>
        <w:t xml:space="preserve"># smooth cube (probability segmentation)</w:t>
      </w:r>
      <w:r>
        <w:br/>
      </w:r>
      <w:r>
        <w:rPr>
          <w:rStyle w:val="NormalTok"/>
        </w:rPr>
        <w:t xml:space="preserve">cube_2023_seg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sits_smooth</w:t>
      </w:r>
      <w:r>
        <w:rPr>
          <w:rStyle w:val="NormalTok"/>
        </w:rPr>
        <w:t xml:space="preserve">(cube_2023_prob, </w:t>
      </w:r>
      <w:r>
        <w:rPr>
          <w:rStyle w:val="AttributeTok"/>
        </w:rPr>
        <w:t xml:space="preserve">output_dir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"./data/cube_2023"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serialize cube</w:t>
      </w:r>
      <w:r>
        <w:br/>
      </w:r>
      <w:r>
        <w:rPr>
          <w:rStyle w:val="NormalTok"/>
        </w:rPr>
        <w:t xml:space="preserve">cube_2023_class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sits_label_classification</w:t>
      </w:r>
      <w:r>
        <w:rPr>
          <w:rStyle w:val="NormalTok"/>
        </w:rPr>
        <w:t xml:space="preserve">(bayes_cube, </w:t>
      </w:r>
      <w:r>
        <w:rPr>
          <w:rStyle w:val="AttributeTok"/>
        </w:rPr>
        <w:t xml:space="preserve">output_dir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"./data/cube_2023"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CommentTok"/>
        </w:rPr>
        <w:t xml:space="preserve"># mosaic cube</w:t>
      </w:r>
      <w:r>
        <w:br/>
      </w:r>
      <w:r>
        <w:rPr>
          <w:rStyle w:val="NormalTok"/>
        </w:rPr>
        <w:t xml:space="preserve">cube_2023_mosaic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sits_mosaic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cube         =</w:t>
      </w:r>
      <w:r>
        <w:rPr>
          <w:rStyle w:val="NormalTok"/>
        </w:rPr>
        <w:t xml:space="preserve"> cube_2023_class,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roi          =</w:t>
      </w:r>
      <w:r>
        <w:rPr>
          <w:rStyle w:val="NormalTok"/>
        </w:rPr>
        <w:t xml:space="preserve"> data_multipolygon,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crs       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"EPSG:3857"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output_dir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"./data/mosaics"</w:t>
      </w:r>
      <w:r>
        <w:br/>
      </w:r>
      <w:r>
        <w:rPr>
          <w:rStyle w:val="NormalTok"/>
        </w:rPr>
        <w:t xml:space="preserve">  )</w:t>
      </w:r>
    </w:p>
    <w:p>
      <w:pPr>
        <w:pStyle w:val="FirstParagraph"/>
      </w:pPr>
      <w:r>
        <w:t xml:space="preserve">Accuracy assessments</w:t>
      </w:r>
    </w:p>
    <w:p>
      <w:pPr>
        <w:pStyle w:val="SourceCode"/>
      </w:pPr>
      <w:r>
        <w:rPr>
          <w:rStyle w:val="NormalTok"/>
        </w:rPr>
        <w:t xml:space="preserve">cube_2023_uncert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sits_uncertainty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cube         =</w:t>
      </w:r>
      <w:r>
        <w:rPr>
          <w:rStyle w:val="NormalTok"/>
        </w:rPr>
        <w:t xml:space="preserve"> cube_2023_class, </w:t>
      </w:r>
      <w:r>
        <w:rPr>
          <w:rStyle w:val="CommentTok"/>
        </w:rPr>
        <w:t xml:space="preserve"># may also input cube_2023_prob &amp; cube_2023_seg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output_dir  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"./data/uncertainty"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FunctionTok"/>
        </w:rPr>
        <w:t xml:space="preserve">hist</w:t>
      </w:r>
      <w:r>
        <w:rPr>
          <w:rStyle w:val="NormalTok"/>
        </w:rPr>
        <w:t xml:space="preserve">(cube_2023_uncert)</w:t>
      </w:r>
      <w:r>
        <w:br/>
      </w:r>
      <w:r>
        <w:br/>
      </w:r>
      <w:r>
        <w:rPr>
          <w:rStyle w:val="NormalTok"/>
        </w:rPr>
        <w:t xml:space="preserve">cube_2023_acc 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sits_accuracy</w:t>
      </w:r>
      <w:r>
        <w:rPr>
          <w:rStyle w:val="NormalTok"/>
        </w:rPr>
        <w:t xml:space="preserve">(cube_2023_mosaic, </w:t>
      </w:r>
      <w:r>
        <w:rPr>
          <w:rStyle w:val="AttributeTok"/>
        </w:rPr>
        <w:t xml:space="preserve">validation =</w:t>
      </w:r>
      <w:r>
        <w:rPr>
          <w:rStyle w:val="NormalTok"/>
        </w:rPr>
        <w:t xml:space="preserve"> test_data)</w:t>
      </w:r>
    </w:p>
    <w:bookmarkStart w:id="37" w:name="refs"/>
    <w:bookmarkStart w:id="29" w:name="Xf4650f2e30403ec0dd8c081b77b4e05f5afc420"/>
    <w:p>
      <w:pPr>
        <w:pStyle w:val="Bibliography"/>
      </w:pPr>
      <w:r>
        <w:t xml:space="preserve">Liberia, Government of. 2019.</w:t>
      </w:r>
      <w:r>
        <w:t xml:space="preserve"> </w:t>
      </w:r>
      <w:r>
        <w:rPr>
          <w:i/>
          <w:iCs/>
        </w:rPr>
        <w:t xml:space="preserve">Liberia’s Forest Reference Emission Level Submission to the UNFCCC</w:t>
      </w:r>
      <w:r>
        <w:t xml:space="preserve">. 1. Forestry Development Authority.</w:t>
      </w:r>
    </w:p>
    <w:bookmarkEnd w:id="29"/>
    <w:bookmarkStart w:id="31" w:name="X3262a2dcf02aaef34424d017274f33a93a9a33f"/>
    <w:p>
      <w:pPr>
        <w:pStyle w:val="Bibliography"/>
      </w:pPr>
      <w:r>
        <w:t xml:space="preserve">Verra. 2021.</w:t>
      </w:r>
      <w:r>
        <w:t xml:space="preserve"> </w:t>
      </w:r>
      <w:r>
        <w:rPr>
          <w:i/>
          <w:iCs/>
        </w:rPr>
        <w:t xml:space="preserve">VT0007: Unplanned Deforestation Allocation Tool</w:t>
      </w:r>
      <w:r>
        <w:t xml:space="preserve">. 0.1. Verra.</w:t>
      </w:r>
      <w:r>
        <w:t xml:space="preserve"> </w:t>
      </w:r>
      <w:hyperlink r:id="rId30">
        <w:r>
          <w:rPr>
            <w:rStyle w:val="Hyperlink"/>
          </w:rPr>
          <w:t xml:space="preserve">https://verra.org/wp-content/uploads/2024/02/VT0007-Unplanned-Deforestation-Allocation-v1.0.pdf</w:t>
        </w:r>
      </w:hyperlink>
      <w:r>
        <w:t xml:space="preserve">.</w:t>
      </w:r>
    </w:p>
    <w:bookmarkEnd w:id="31"/>
    <w:bookmarkStart w:id="33" w:name="ref-verraVM0048ReducingEmissions2023a"/>
    <w:p>
      <w:pPr>
        <w:pStyle w:val="Bibliography"/>
      </w:pPr>
      <w:r>
        <w:t xml:space="preserve">———. 2023.</w:t>
      </w:r>
      <w:r>
        <w:t xml:space="preserve"> </w:t>
      </w:r>
      <w:r>
        <w:rPr>
          <w:i/>
          <w:iCs/>
        </w:rPr>
        <w:t xml:space="preserve">VM0048: Reducing Emissions from Deforestation and Forest Degradation</w:t>
      </w:r>
      <w:r>
        <w:t xml:space="preserve">. 1.0. Verra.</w:t>
      </w:r>
      <w:r>
        <w:t xml:space="preserve"> </w:t>
      </w:r>
      <w:hyperlink r:id="rId32">
        <w:r>
          <w:rPr>
            <w:rStyle w:val="Hyperlink"/>
          </w:rPr>
          <w:t xml:space="preserve">https://verra.org/wp-content/uploads/2023/11/VM0048-Reducing-Emissions-from-Deforestation-and-Forest-Degradation-v1.0-1-1.pdf</w:t>
        </w:r>
      </w:hyperlink>
      <w:r>
        <w:t xml:space="preserve">.</w:t>
      </w:r>
    </w:p>
    <w:bookmarkEnd w:id="33"/>
    <w:bookmarkStart w:id="35" w:name="ref-verraVMD0055EstimationEmission2024"/>
    <w:p>
      <w:pPr>
        <w:pStyle w:val="Bibliography"/>
      </w:pPr>
      <w:r>
        <w:t xml:space="preserve">———. 2024.</w:t>
      </w:r>
      <w:r>
        <w:t xml:space="preserve"> </w:t>
      </w:r>
      <w:r>
        <w:rPr>
          <w:i/>
          <w:iCs/>
        </w:rPr>
        <w:t xml:space="preserve">VMD0055: Estimation of Emission Reductions from Avoiding Unplanned Deforestation</w:t>
      </w:r>
      <w:r>
        <w:t xml:space="preserve">. VCS Module 1.1. Verra.</w:t>
      </w:r>
      <w:r>
        <w:t xml:space="preserve"> </w:t>
      </w:r>
      <w:hyperlink r:id="rId34">
        <w:r>
          <w:rPr>
            <w:rStyle w:val="Hyperlink"/>
          </w:rPr>
          <w:t xml:space="preserve">https://verra.org/wp-content/uploads/2024/10/VMD0055-Estimation-of-Emission-Reductions-from-Avoiding-Unplanned-Deforestation-v1.1-CLEAN-2024.10.21.24.pdf</w:t>
        </w:r>
      </w:hyperlink>
      <w:r>
        <w:t xml:space="preserve">.</w:t>
      </w:r>
    </w:p>
    <w:bookmarkEnd w:id="35"/>
    <w:bookmarkStart w:id="36" w:name="ref-woodcockGlobalLandCover"/>
    <w:p>
      <w:pPr>
        <w:pStyle w:val="Bibliography"/>
      </w:pPr>
      <w:r>
        <w:t xml:space="preserve">Woodcock, Curtis, Pontus Olofsson, Thomas Loveland, Chris Barber, and Zhe Zhu. n.d.</w:t>
      </w:r>
      <w:r>
        <w:t xml:space="preserve"> </w:t>
      </w:r>
      <w:r>
        <w:t xml:space="preserve">“Global Land Cover Estimation (GLanCE) Product User Guide Version 1.0 August 2022.”</w:t>
      </w:r>
    </w:p>
    <w:bookmarkEnd w:id="36"/>
    <w:bookmarkEnd w:id="37"/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“</w:t>
      </w:r>
      <w:r>
        <w:t xml:space="preserve">RSPB is concerned that the Verra baselines will be inaccurate because they will</w:t>
      </w:r>
      <w:r>
        <w:t xml:space="preserve"> </w:t>
      </w:r>
      <w:r>
        <w:t xml:space="preserve">use: existing freely available global data like ESA (European Space Agency) landcover</w:t>
      </w:r>
      <w:r>
        <w:t xml:space="preserve"> </w:t>
      </w:r>
      <w:r>
        <w:t xml:space="preserve">and Hansen Global Forest Change to measure forest cover. These overestimate the amount</w:t>
      </w:r>
      <w:r>
        <w:t xml:space="preserve"> </w:t>
      </w:r>
      <w:r>
        <w:t xml:space="preserve">of native forest that exists because these data sources can’t distinguish between</w:t>
      </w:r>
      <w:r>
        <w:t xml:space="preserve"> </w:t>
      </w:r>
      <w:r>
        <w:t xml:space="preserve">native forest and some other habitats such as agroforest in the Greater Gola Landscape</w:t>
      </w:r>
      <w:r>
        <w:t xml:space="preserve"> </w:t>
      </w:r>
      <w:r>
        <w:t xml:space="preserve">(GGL), despite doing so effectively elsewhere (Brittany has verified this in the GGL).</w:t>
      </w:r>
      <w:r>
        <w:t xml:space="preserve"> </w:t>
      </w:r>
      <w:r>
        <w:t xml:space="preserve">This is because the GGL is fine-grained (small patches of rotational swidden</w:t>
      </w:r>
      <w:r>
        <w:t xml:space="preserve"> </w:t>
      </w:r>
      <w:r>
        <w:t xml:space="preserve">agriculture) and agroforestry often has dense canopy cover, which means only</w:t>
      </w:r>
      <w:r>
        <w:t xml:space="preserve"> </w:t>
      </w:r>
      <w:r>
        <w:t xml:space="preserve">satellites collecting very high-resolution images can detect small habitat patches and</w:t>
      </w:r>
      <w:r>
        <w:t xml:space="preserve"> </w:t>
      </w:r>
      <w:r>
        <w:t xml:space="preserve">small gaps in canopy cover. This is important because although the habitats can look</w:t>
      </w:r>
      <w:r>
        <w:t xml:space="preserve"> </w:t>
      </w:r>
      <w:r>
        <w:t xml:space="preserve">similar, the above-ground carbon is far less than that of forest.</w:t>
      </w:r>
      <w:r>
        <w:t xml:space="preserve">”</w:t>
      </w:r>
    </w:p>
  </w:footnote>
  <w:footnote w:id="2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For replication, the full unprocessed dataset was stored in personal drive folder</w:t>
      </w:r>
      <w:r>
        <w:t xml:space="preserve"> </w:t>
      </w:r>
      <w:r>
        <w:t xml:space="preserve">here:</w:t>
      </w:r>
      <w:r>
        <w:t xml:space="preserve"> </w:t>
      </w:r>
      <w:hyperlink r:id="rId28">
        <w:r>
          <w:rPr>
            <w:rStyle w:val="Hyperlink"/>
          </w:rPr>
          <w:t xml:space="preserve">https://drive.google.com/file/d/1FhWTpSGFRTodDCY2gSGhssLuP2Plq4ZE/view?usp=drive_link</w:t>
        </w:r>
      </w:hyperlink>
      <w:r>
        <w:t xml:space="preserve"> </w:t>
      </w:r>
      <w:r>
        <w:t xml:space="preserve">-</w:t>
      </w:r>
      <w:r>
        <w:t xml:space="preserve"> </w:t>
      </w:r>
      <w:r>
        <w:t xml:space="preserve">To extract from source, java script and google earth engine account needed.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hyperlink" Id="rId28" Target="https://drive.google.com/file/d/1FhWTpSGFRTodDCY2gSGhssLuP2Plq4ZE/view?usp=drive_link" TargetMode="External" /><Relationship Type="http://schemas.openxmlformats.org/officeDocument/2006/relationships/hyperlink" Id="rId32" Target="https://verra.org/wp-content/uploads/2023/11/VM0048-Reducing-Emissions-from-Deforestation-and-Forest-Degradation-v1.0-1-1.pdf" TargetMode="External" /><Relationship Type="http://schemas.openxmlformats.org/officeDocument/2006/relationships/hyperlink" Id="rId30" Target="https://verra.org/wp-content/uploads/2024/02/VT0007-Unplanned-Deforestation-Allocation-v1.0.pdf" TargetMode="External" /><Relationship Type="http://schemas.openxmlformats.org/officeDocument/2006/relationships/hyperlink" Id="rId34" Target="https://verra.org/wp-content/uploads/2024/10/VMD0055-Estimation-of-Emission-Reductions-from-Avoiding-Unplanned-Deforestation-v1.1-CLEAN-2024.10.21.24.pdf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8" Target="https://drive.google.com/file/d/1FhWTpSGFRTodDCY2gSGhssLuP2Plq4ZE/view?usp=drive_link" TargetMode="External" /><Relationship Type="http://schemas.openxmlformats.org/officeDocument/2006/relationships/hyperlink" Id="rId32" Target="https://verra.org/wp-content/uploads/2023/11/VM0048-Reducing-Emissions-from-Deforestation-and-Forest-Degradation-v1.0-1-1.pdf" TargetMode="External" /><Relationship Type="http://schemas.openxmlformats.org/officeDocument/2006/relationships/hyperlink" Id="rId30" Target="https://verra.org/wp-content/uploads/2024/02/VT0007-Unplanned-Deforestation-Allocation-v1.0.pdf" TargetMode="External" /><Relationship Type="http://schemas.openxmlformats.org/officeDocument/2006/relationships/hyperlink" Id="rId34" Target="https://verra.org/wp-content/uploads/2024/10/VMD0055-Estimation-of-Emission-Reductions-from-Avoiding-Unplanned-Deforestation-v1.1-CLEAN-2024.10.21.24.pdf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Methods Check</dc:title>
  <dc:creator/>
  <cp:keywords/>
  <dcterms:created xsi:type="dcterms:W3CDTF">2024-12-25T12:54:20Z</dcterms:created>
  <dcterms:modified xsi:type="dcterms:W3CDTF">2024-12-25T12:54:20Z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ways_allow_html">
    <vt:lpwstr>True</vt:lpwstr>
  </property>
  <property fmtid="{D5CDD505-2E9C-101B-9397-08002B2CF9AE}" pid="3" name="bibliography">
    <vt:lpwstr>references.bib</vt:lpwstr>
  </property>
  <property fmtid="{D5CDD505-2E9C-101B-9397-08002B2CF9AE}" pid="4" name="date">
    <vt:lpwstr>2024-12-23</vt:lpwstr>
  </property>
  <property fmtid="{D5CDD505-2E9C-101B-9397-08002B2CF9AE}" pid="5" name="editor_options">
    <vt:lpwstr/>
  </property>
  <property fmtid="{D5CDD505-2E9C-101B-9397-08002B2CF9AE}" pid="6" name="output">
    <vt:lpwstr/>
  </property>
  <property fmtid="{D5CDD505-2E9C-101B-9397-08002B2CF9AE}" pid="7" name="subtitle">
    <vt:lpwstr>Review of Emissions Estimates &amp; Activity Data applied in the RSPB Gola Feasibility Assessment</vt:lpwstr>
  </property>
</Properties>
</file>